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64" w:type="pct"/>
        <w:jc w:val="center"/>
        <w:tblInd w:w="-2019" w:type="dxa"/>
        <w:tblLayout w:type="fixed"/>
        <w:tblCellMar>
          <w:left w:w="70" w:type="dxa"/>
          <w:right w:w="70" w:type="dxa"/>
        </w:tblCellMar>
        <w:tblLook w:val="04A0" w:firstRow="1" w:lastRow="0" w:firstColumn="1" w:lastColumn="0" w:noHBand="0" w:noVBand="1"/>
      </w:tblPr>
      <w:tblGrid>
        <w:gridCol w:w="465"/>
        <w:gridCol w:w="3259"/>
        <w:gridCol w:w="3259"/>
        <w:gridCol w:w="3121"/>
        <w:gridCol w:w="3408"/>
      </w:tblGrid>
      <w:tr w:rsidR="002053CE" w:rsidRPr="00ED3DB1" w:rsidTr="002623BA">
        <w:trPr>
          <w:cantSplit/>
          <w:trHeight w:val="227"/>
          <w:jc w:val="center"/>
        </w:trPr>
        <w:tc>
          <w:tcPr>
            <w:tcW w:w="172" w:type="pct"/>
            <w:tcBorders>
              <w:top w:val="single" w:sz="4" w:space="0" w:color="auto"/>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1</w:t>
            </w:r>
          </w:p>
        </w:tc>
        <w:tc>
          <w:tcPr>
            <w:tcW w:w="1206" w:type="pct"/>
            <w:tcBorders>
              <w:top w:val="single" w:sz="4" w:space="0" w:color="auto"/>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Pr>
                <w:rFonts w:ascii="Arial" w:hAnsi="Arial" w:cs="Arial"/>
                <w:b/>
                <w:bCs/>
              </w:rPr>
              <w:t xml:space="preserve">Qual </w:t>
            </w:r>
            <w:r w:rsidRPr="00A7283E">
              <w:rPr>
                <w:rFonts w:ascii="Arial" w:hAnsi="Arial" w:cs="Arial"/>
                <w:b/>
                <w:bCs/>
              </w:rPr>
              <w:t>è lo scopo del mandato professionale</w:t>
            </w:r>
          </w:p>
        </w:tc>
        <w:tc>
          <w:tcPr>
            <w:tcW w:w="1206" w:type="pct"/>
            <w:tcBorders>
              <w:top w:val="single" w:sz="4" w:space="0" w:color="auto"/>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Disciplinare adeguatamente il rapporto professionale prevedendo una serie di accordi e di obblighi tesi a tutelare al meglio sia il professionista che il cliente</w:t>
            </w:r>
          </w:p>
        </w:tc>
        <w:tc>
          <w:tcPr>
            <w:tcW w:w="1155" w:type="pct"/>
            <w:tcBorders>
              <w:top w:val="single" w:sz="4" w:space="0" w:color="auto"/>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Definire l'oggetto dell'incarico ed il relativo compenso</w:t>
            </w:r>
          </w:p>
        </w:tc>
        <w:tc>
          <w:tcPr>
            <w:tcW w:w="1261" w:type="pct"/>
            <w:tcBorders>
              <w:top w:val="single" w:sz="4" w:space="0" w:color="auto"/>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definire l'oggetto dell'incarico e le modalità di recesso</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2</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Cosa s'intende per sportello di riferimento per il cittadino consumatore.</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E' una forma di garanzia a tutela dell'utente presso il quale i committenti delle prestazioni professionali possono rivolgersi in caso di contenzioso con i singoli Professionisti e ottenere informazioni relative all'attività professionale.</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 xml:space="preserve">Lo sportello al quale il cittadino consumatore può rivolgersi per cercare e scegliere un professionista che esercita ex </w:t>
            </w:r>
            <w:proofErr w:type="spellStart"/>
            <w:r w:rsidRPr="00A7283E">
              <w:rPr>
                <w:rFonts w:ascii="Arial" w:hAnsi="Arial" w:cs="Arial"/>
              </w:rPr>
              <w:t>lege</w:t>
            </w:r>
            <w:proofErr w:type="spellEnd"/>
            <w:r w:rsidRPr="00A7283E">
              <w:rPr>
                <w:rFonts w:ascii="Arial" w:hAnsi="Arial" w:cs="Arial"/>
              </w:rPr>
              <w:t xml:space="preserve"> 4/2013</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E' un mezzo informativo col quale le associazioni di professionisti rendono note le caratteristiche  e le qualità dei propri  associati.</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3</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Con quale periodicità dev'essere effettuato l'aggiornamento dei programmi antivirus?</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Semestrale</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Annuale</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Secondo le specifiche tecniche indicate dal fornitore del software</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4</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Quali sono le funzionalità tipiche di un software gestionale per la contabilità?</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Gestione della distinta di base; gestione della raccolta dei dati di produzione</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Gestione delle scritture in prima nota; gestione dei registri IVA e delle liquidazioni IVA; gestione dei partitari; stampe e riclassificazioni del bilancio contabile</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Gestione del magazzino; pianificazione delle scadenze operative</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5</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Che cosa sono i conti numerari? In quale sezione si registrano le loro variazioni?</w:t>
            </w:r>
          </w:p>
        </w:tc>
        <w:tc>
          <w:tcPr>
            <w:tcW w:w="1206"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 xml:space="preserve">Sono i conti in cui si rilevano i fatti della gestione sotto l'aspetto economico. Le variazioni negative vanno registrate in </w:t>
            </w:r>
            <w:r w:rsidRPr="00A7283E">
              <w:rPr>
                <w:rFonts w:ascii="Arial" w:hAnsi="Arial" w:cs="Arial"/>
                <w:b/>
                <w:bCs/>
                <w:i/>
                <w:iCs/>
              </w:rPr>
              <w:t xml:space="preserve">dare </w:t>
            </w:r>
            <w:r w:rsidRPr="00A7283E">
              <w:rPr>
                <w:rFonts w:ascii="Arial" w:hAnsi="Arial" w:cs="Arial"/>
              </w:rPr>
              <w:t xml:space="preserve">e le variazioni positive vanno registrate in  </w:t>
            </w:r>
            <w:r w:rsidRPr="00A7283E">
              <w:rPr>
                <w:rFonts w:ascii="Arial" w:hAnsi="Arial" w:cs="Arial"/>
                <w:b/>
                <w:bCs/>
                <w:i/>
                <w:iCs/>
              </w:rPr>
              <w:t>avere</w:t>
            </w:r>
          </w:p>
        </w:tc>
        <w:tc>
          <w:tcPr>
            <w:tcW w:w="1155"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Sono i conti in cui si rilevano i fatti della gestione sotto l'aspetto monetario. Le variazioni attive vanno  registrate in</w:t>
            </w:r>
            <w:r w:rsidRPr="00A7283E">
              <w:rPr>
                <w:rFonts w:ascii="Arial" w:hAnsi="Arial" w:cs="Arial"/>
                <w:i/>
                <w:iCs/>
              </w:rPr>
              <w:t xml:space="preserve"> </w:t>
            </w:r>
            <w:r w:rsidRPr="00A7283E">
              <w:rPr>
                <w:rFonts w:ascii="Arial" w:hAnsi="Arial" w:cs="Arial"/>
                <w:b/>
                <w:bCs/>
                <w:i/>
                <w:iCs/>
              </w:rPr>
              <w:t>dare</w:t>
            </w:r>
            <w:r w:rsidRPr="00A7283E">
              <w:rPr>
                <w:rFonts w:ascii="Arial" w:hAnsi="Arial" w:cs="Arial"/>
                <w:i/>
                <w:iCs/>
              </w:rPr>
              <w:t xml:space="preserve">, </w:t>
            </w:r>
            <w:r w:rsidRPr="00A7283E">
              <w:rPr>
                <w:rFonts w:ascii="Arial" w:hAnsi="Arial" w:cs="Arial"/>
              </w:rPr>
              <w:t>le variazioni passive vanno  registrate in</w:t>
            </w:r>
            <w:r w:rsidRPr="00A7283E">
              <w:rPr>
                <w:rFonts w:ascii="Arial" w:hAnsi="Arial" w:cs="Arial"/>
                <w:i/>
                <w:iCs/>
              </w:rPr>
              <w:t xml:space="preserve"> </w:t>
            </w:r>
            <w:r w:rsidRPr="00A7283E">
              <w:rPr>
                <w:rFonts w:ascii="Arial" w:hAnsi="Arial" w:cs="Arial"/>
                <w:b/>
                <w:bCs/>
                <w:i/>
                <w:iCs/>
              </w:rPr>
              <w:t>avere</w:t>
            </w:r>
          </w:p>
        </w:tc>
        <w:tc>
          <w:tcPr>
            <w:tcW w:w="1261"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Sono i conti in cui si rilevano in</w:t>
            </w:r>
            <w:r w:rsidRPr="00A7283E">
              <w:rPr>
                <w:rFonts w:ascii="Arial" w:hAnsi="Arial" w:cs="Arial"/>
                <w:b/>
                <w:bCs/>
                <w:i/>
                <w:iCs/>
              </w:rPr>
              <w:t xml:space="preserve"> dare </w:t>
            </w:r>
            <w:r w:rsidRPr="00A7283E">
              <w:rPr>
                <w:rFonts w:ascii="Arial" w:hAnsi="Arial" w:cs="Arial"/>
              </w:rPr>
              <w:t>le variazioni attive ed in</w:t>
            </w:r>
            <w:r w:rsidRPr="00A7283E">
              <w:rPr>
                <w:rFonts w:ascii="Arial" w:hAnsi="Arial" w:cs="Arial"/>
                <w:b/>
                <w:bCs/>
                <w:i/>
                <w:iCs/>
              </w:rPr>
              <w:t xml:space="preserve"> avere </w:t>
            </w:r>
            <w:r w:rsidRPr="00A7283E">
              <w:rPr>
                <w:rFonts w:ascii="Arial" w:hAnsi="Arial" w:cs="Arial"/>
              </w:rPr>
              <w:t>le variazioni passive dei flussi monetari</w:t>
            </w:r>
          </w:p>
        </w:tc>
      </w:tr>
      <w:tr w:rsidR="002053CE" w:rsidRPr="00ED3DB1" w:rsidTr="002623BA">
        <w:trPr>
          <w:cantSplit/>
          <w:trHeight w:val="1679"/>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6</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In caso di cessione di contratto di leasing a terzi che cosa bisogna rilevare tra i componenti positivi del conto economico?</w:t>
            </w:r>
          </w:p>
        </w:tc>
        <w:tc>
          <w:tcPr>
            <w:tcW w:w="1206"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Una</w:t>
            </w:r>
            <w:r w:rsidRPr="00A7283E">
              <w:rPr>
                <w:rFonts w:ascii="Arial" w:hAnsi="Arial" w:cs="Arial"/>
                <w:b/>
                <w:bCs/>
                <w:i/>
                <w:iCs/>
              </w:rPr>
              <w:t xml:space="preserve"> sopravvenienza attiva</w:t>
            </w:r>
            <w:r w:rsidRPr="00A7283E">
              <w:rPr>
                <w:rFonts w:ascii="Arial" w:hAnsi="Arial" w:cs="Arial"/>
              </w:rPr>
              <w:t xml:space="preserve"> a prescindere dal corrispettivo pattuito</w:t>
            </w:r>
          </w:p>
        </w:tc>
        <w:tc>
          <w:tcPr>
            <w:tcW w:w="1155"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 xml:space="preserve">Una </w:t>
            </w:r>
            <w:r w:rsidRPr="00A7283E">
              <w:rPr>
                <w:rFonts w:ascii="Arial" w:hAnsi="Arial" w:cs="Arial"/>
                <w:b/>
                <w:bCs/>
                <w:i/>
                <w:iCs/>
              </w:rPr>
              <w:t>sopravvenienza attiva</w:t>
            </w:r>
            <w:r w:rsidRPr="00A7283E">
              <w:rPr>
                <w:rFonts w:ascii="Arial" w:hAnsi="Arial" w:cs="Arial"/>
              </w:rPr>
              <w:t xml:space="preserve"> quando il corrispettivo pattuito è superiore al valore normale netto</w:t>
            </w:r>
          </w:p>
        </w:tc>
        <w:tc>
          <w:tcPr>
            <w:tcW w:w="1261"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 xml:space="preserve">Un </w:t>
            </w:r>
            <w:r w:rsidRPr="00A7283E">
              <w:rPr>
                <w:rFonts w:ascii="Arial" w:hAnsi="Arial" w:cs="Arial"/>
                <w:b/>
                <w:bCs/>
              </w:rPr>
              <w:t>ricavo</w:t>
            </w:r>
            <w:r w:rsidRPr="00A7283E">
              <w:rPr>
                <w:rFonts w:ascii="Arial" w:hAnsi="Arial" w:cs="Arial"/>
              </w:rPr>
              <w:t xml:space="preserve"> per cessione di beni di terzi</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Pr>
                <w:rFonts w:ascii="Arial" w:hAnsi="Arial" w:cs="Arial"/>
                <w:b/>
                <w:color w:val="9C0006"/>
              </w:rPr>
              <w:t>7</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 xml:space="preserve">La conservazione fiscale dei documenti e dei registri, in caso di mancata presentazione della dichiarazione, deve essere per: </w:t>
            </w:r>
          </w:p>
        </w:tc>
        <w:tc>
          <w:tcPr>
            <w:tcW w:w="1206"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4 anni decorrenti dal 31/12 dell'anno successivo a quello in cui si doveva presentare la dichiarazione.</w:t>
            </w:r>
          </w:p>
        </w:tc>
        <w:tc>
          <w:tcPr>
            <w:tcW w:w="1155"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5 anni a decorrere dal 31/12 dell'anno successivo a quello in cui la dichiarazione annuale avrebbe dovuto essere presentata.</w:t>
            </w:r>
          </w:p>
        </w:tc>
        <w:tc>
          <w:tcPr>
            <w:tcW w:w="1261"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10 anni.</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lastRenderedPageBreak/>
              <w:t>8</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Ai fini IVA, il registro dei corrispettivi:</w:t>
            </w:r>
          </w:p>
        </w:tc>
        <w:tc>
          <w:tcPr>
            <w:tcW w:w="1206"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E' sempre obbligatorio</w:t>
            </w:r>
          </w:p>
        </w:tc>
        <w:tc>
          <w:tcPr>
            <w:tcW w:w="1155"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Sostituisce il registro delle fatture emesse per i dettaglianti ed assimilati.</w:t>
            </w:r>
          </w:p>
        </w:tc>
        <w:tc>
          <w:tcPr>
            <w:tcW w:w="1261"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E' obbligatorio solo in presenza del registratore di cassa.</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9</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 xml:space="preserve">Una </w:t>
            </w:r>
            <w:proofErr w:type="spellStart"/>
            <w:r w:rsidRPr="00A7283E">
              <w:rPr>
                <w:rFonts w:ascii="Arial" w:hAnsi="Arial" w:cs="Arial"/>
                <w:b/>
                <w:bCs/>
              </w:rPr>
              <w:t>Srl</w:t>
            </w:r>
            <w:proofErr w:type="spellEnd"/>
            <w:r w:rsidRPr="00A7283E">
              <w:rPr>
                <w:rFonts w:ascii="Arial" w:hAnsi="Arial" w:cs="Arial"/>
                <w:b/>
                <w:bCs/>
              </w:rPr>
              <w:t xml:space="preserve"> al primo anno di attività, con capitale sociale di € 10.000,00, senza riserve a patrimonio netto, chiude l'esercizio con una perdita di € 15.000,00.</w:t>
            </w:r>
          </w:p>
        </w:tc>
        <w:tc>
          <w:tcPr>
            <w:tcW w:w="1206"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E' una situazione di normalità dato che si tratta del primo esercizio. Vi sarà tempo per i soci di coprire la perdita entro l'esercizio successivo.</w:t>
            </w:r>
          </w:p>
        </w:tc>
        <w:tc>
          <w:tcPr>
            <w:tcW w:w="1155"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Comunicate all'amministratore che sarebbe necessario convocare una assemblea straordinaria per coprire la perdita e ricapitalizzare la società ma per prassi è accettato che i soci coprano immediatamente la perdita con conferimenti a fondo perduto.</w:t>
            </w:r>
          </w:p>
        </w:tc>
        <w:tc>
          <w:tcPr>
            <w:tcW w:w="1261" w:type="pct"/>
            <w:tcBorders>
              <w:top w:val="nil"/>
              <w:left w:val="nil"/>
              <w:bottom w:val="single" w:sz="4" w:space="0" w:color="auto"/>
              <w:right w:val="single" w:sz="4" w:space="0" w:color="auto"/>
            </w:tcBorders>
            <w:shd w:val="clear" w:color="auto" w:fill="auto"/>
            <w:noWrap/>
            <w:vAlign w:val="center"/>
          </w:tcPr>
          <w:p w:rsidR="002053CE" w:rsidRPr="00A7283E" w:rsidRDefault="002053CE" w:rsidP="002623BA">
            <w:pPr>
              <w:rPr>
                <w:rFonts w:ascii="Arial" w:hAnsi="Arial" w:cs="Arial"/>
              </w:rPr>
            </w:pPr>
            <w:r w:rsidRPr="00A7283E">
              <w:rPr>
                <w:rFonts w:ascii="Arial" w:hAnsi="Arial" w:cs="Arial"/>
              </w:rPr>
              <w:t>E' importante che la perdita sia coperta entro l'esercizio successivo in modo tale che non compaia più in bilancio.</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10</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Una Sas con sede a Bolzano, ha un volume di ricavi di € 415.000,00 ed impiega 6 dipendenti a tempo determinato. Ai fini IRAP:</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Operate una deduzione, per i 6 dipendenti, pari all'intero importo dei contributi previdenziali e la cifra fissa di € 4600,00 per ognuno di essi.</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Operate una deduzione di € 2.000,00 per ogni dipendente fino ad un massimo di 5 dipendenti.</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Non operate alcuna deduzione.</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11</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Una Sas con capitale sociale di € 5.000,00, in contabilità semplificata, composta da un socio accomandatario e da un socio accomandante entrambi al 50%, dichiara una perdita fiscale di € 15.000,00.</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Imputate la perdita al 50% ad entrambi i soci</w:t>
            </w:r>
            <w:r>
              <w:rPr>
                <w:rFonts w:ascii="Arial" w:hAnsi="Arial" w:cs="Arial"/>
              </w:rPr>
              <w:t xml:space="preserve"> </w:t>
            </w:r>
            <w:r w:rsidRPr="00A7283E">
              <w:rPr>
                <w:rFonts w:ascii="Arial" w:hAnsi="Arial" w:cs="Arial"/>
              </w:rPr>
              <w:t>tenendo presente che quella dell'accomandante non può essere scomputata dagli eventuali altri redditi personali.</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Imputate all'accomandatario l'intera perdita in quanto egli è socio illimitatamente responsabile.</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Imputate all'accomandante una perdita di € 2.500,00 e all'accomandatario la restante perdita di € 12.500,00.</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12</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La trasmissione di una dichiarazione da parte dell'intermediario non superiore a 90 giorni dalla scadenza:</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Si considera omessa</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Risulta validamente trasmessa</w:t>
            </w:r>
            <w:r>
              <w:rPr>
                <w:rFonts w:ascii="Arial" w:hAnsi="Arial" w:cs="Arial"/>
              </w:rPr>
              <w:t xml:space="preserve"> </w:t>
            </w:r>
            <w:proofErr w:type="spellStart"/>
            <w:r w:rsidRPr="00A7283E">
              <w:rPr>
                <w:rFonts w:ascii="Arial" w:hAnsi="Arial" w:cs="Arial"/>
              </w:rPr>
              <w:t>ancorchè</w:t>
            </w:r>
            <w:proofErr w:type="spellEnd"/>
            <w:r w:rsidRPr="00A7283E">
              <w:rPr>
                <w:rFonts w:ascii="Arial" w:hAnsi="Arial" w:cs="Arial"/>
              </w:rPr>
              <w:t xml:space="preserve"> tardiva.</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Può essere trasmessa ma contemporaneamente deve essere versata, da parte dell'intermediario, la specifica sanzione ridotta ad 1/10 del minimo (€ 52,00).</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13</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Un intermediario ha omesso di</w:t>
            </w:r>
            <w:r>
              <w:rPr>
                <w:rFonts w:ascii="Arial" w:hAnsi="Arial" w:cs="Arial"/>
                <w:b/>
                <w:bCs/>
              </w:rPr>
              <w:t xml:space="preserve"> inviare telematicamente 5 file</w:t>
            </w:r>
            <w:r w:rsidRPr="00A7283E">
              <w:rPr>
                <w:rFonts w:ascii="Arial" w:hAnsi="Arial" w:cs="Arial"/>
                <w:b/>
                <w:bCs/>
              </w:rPr>
              <w:t xml:space="preserve"> contenenti, rispettivamente, 3 </w:t>
            </w:r>
            <w:proofErr w:type="spellStart"/>
            <w:r w:rsidRPr="00A7283E">
              <w:rPr>
                <w:rFonts w:ascii="Arial" w:hAnsi="Arial" w:cs="Arial"/>
                <w:b/>
                <w:bCs/>
              </w:rPr>
              <w:t>Modd</w:t>
            </w:r>
            <w:proofErr w:type="spellEnd"/>
            <w:r w:rsidRPr="00A7283E">
              <w:rPr>
                <w:rFonts w:ascii="Arial" w:hAnsi="Arial" w:cs="Arial"/>
                <w:b/>
                <w:bCs/>
              </w:rPr>
              <w:t xml:space="preserve">. Unico ENC, 10 </w:t>
            </w:r>
            <w:proofErr w:type="spellStart"/>
            <w:r w:rsidRPr="00A7283E">
              <w:rPr>
                <w:rFonts w:ascii="Arial" w:hAnsi="Arial" w:cs="Arial"/>
                <w:b/>
                <w:bCs/>
              </w:rPr>
              <w:t>Modd</w:t>
            </w:r>
            <w:proofErr w:type="spellEnd"/>
            <w:r w:rsidRPr="00A7283E">
              <w:rPr>
                <w:rFonts w:ascii="Arial" w:hAnsi="Arial" w:cs="Arial"/>
                <w:b/>
                <w:bCs/>
              </w:rPr>
              <w:t xml:space="preserve">. Unico SC, 30 </w:t>
            </w:r>
            <w:proofErr w:type="spellStart"/>
            <w:r w:rsidRPr="00A7283E">
              <w:rPr>
                <w:rFonts w:ascii="Arial" w:hAnsi="Arial" w:cs="Arial"/>
                <w:b/>
                <w:bCs/>
              </w:rPr>
              <w:t>Modd</w:t>
            </w:r>
            <w:proofErr w:type="spellEnd"/>
            <w:r w:rsidRPr="00A7283E">
              <w:rPr>
                <w:rFonts w:ascii="Arial" w:hAnsi="Arial" w:cs="Arial"/>
                <w:b/>
                <w:bCs/>
              </w:rPr>
              <w:t xml:space="preserve">. Unico SP, 70 </w:t>
            </w:r>
            <w:proofErr w:type="spellStart"/>
            <w:r w:rsidRPr="00A7283E">
              <w:rPr>
                <w:rFonts w:ascii="Arial" w:hAnsi="Arial" w:cs="Arial"/>
                <w:b/>
                <w:bCs/>
              </w:rPr>
              <w:t>Modd</w:t>
            </w:r>
            <w:proofErr w:type="spellEnd"/>
            <w:r w:rsidRPr="00A7283E">
              <w:rPr>
                <w:rFonts w:ascii="Arial" w:hAnsi="Arial" w:cs="Arial"/>
                <w:b/>
                <w:bCs/>
              </w:rPr>
              <w:t xml:space="preserve">. Unico PF e 80 </w:t>
            </w:r>
            <w:proofErr w:type="spellStart"/>
            <w:r w:rsidRPr="00A7283E">
              <w:rPr>
                <w:rFonts w:ascii="Arial" w:hAnsi="Arial" w:cs="Arial"/>
                <w:b/>
                <w:bCs/>
              </w:rPr>
              <w:t>Modd</w:t>
            </w:r>
            <w:proofErr w:type="spellEnd"/>
            <w:r w:rsidRPr="00A7283E">
              <w:rPr>
                <w:rFonts w:ascii="Arial" w:hAnsi="Arial" w:cs="Arial"/>
                <w:b/>
                <w:bCs/>
              </w:rPr>
              <w:t>. IRAP. L'intermediario dovrà sostenere una sanzione:</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Pari a € 516,00 per ogni fi</w:t>
            </w:r>
            <w:r>
              <w:rPr>
                <w:rFonts w:ascii="Arial" w:hAnsi="Arial" w:cs="Arial"/>
              </w:rPr>
              <w:t>le</w:t>
            </w:r>
            <w:r w:rsidRPr="00A7283E">
              <w:rPr>
                <w:rFonts w:ascii="Arial" w:hAnsi="Arial" w:cs="Arial"/>
              </w:rPr>
              <w:t xml:space="preserve"> non inviato con la maggiorazione di 1/4 se paga entro 10gg.</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 xml:space="preserve">Pari a € 645 (516+1/4) per l'intera fornitura di dichiarazioni contenute nel medesimo file perché si applica il cumulo giuridico ex art. 12, </w:t>
            </w:r>
            <w:proofErr w:type="spellStart"/>
            <w:r w:rsidRPr="00A7283E">
              <w:rPr>
                <w:rFonts w:ascii="Arial" w:hAnsi="Arial" w:cs="Arial"/>
              </w:rPr>
              <w:t>D.Lgs.</w:t>
            </w:r>
            <w:proofErr w:type="spellEnd"/>
            <w:r w:rsidRPr="00A7283E">
              <w:rPr>
                <w:rFonts w:ascii="Arial" w:hAnsi="Arial" w:cs="Arial"/>
              </w:rPr>
              <w:t xml:space="preserve"> 472/97.</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Nessuna sanzione perché può inviare entro 3gg dalla data di scadenza.</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14</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 xml:space="preserve">Il vostro cliente </w:t>
            </w:r>
            <w:proofErr w:type="spellStart"/>
            <w:r w:rsidRPr="00A7283E">
              <w:rPr>
                <w:rFonts w:ascii="Arial" w:hAnsi="Arial" w:cs="Arial"/>
                <w:b/>
                <w:bCs/>
              </w:rPr>
              <w:t>Menevò</w:t>
            </w:r>
            <w:proofErr w:type="spellEnd"/>
            <w:r w:rsidRPr="00A7283E">
              <w:rPr>
                <w:rFonts w:ascii="Arial" w:hAnsi="Arial" w:cs="Arial"/>
                <w:b/>
                <w:bCs/>
              </w:rPr>
              <w:t xml:space="preserve"> Pasqualino vi comunica che ha inviato la raccomandata di recesso dalla società di cui è socio. Voi:</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Controllate lo statuto della società ed il codice civile per verificare se il vostro cliente ha legittimamente operato.</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Gli dite che è a posto così e basta solo che gli ritorni l'avviso di ricevimento della raccomandata che ha inviato alla società.</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Gli dite che ha sbagliato e che doveva richiedere la convocazione dell'assemblea per l'opportuna delibera.</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lastRenderedPageBreak/>
              <w:t>15</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 xml:space="preserve">In una società di persone, un socio conferisce, un credito che successivamente si rivela inesigibile. Voi: </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Gli rammentate che risponde del credito e, quindi, deve provvedere a versare l'ammontare del credito stesso nelle casse sociali a pena di esclusione dalla società.</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Gli dite di non preoccuparsi perché la legge prevede che lui copra l'ammontare con gli utili che saranno deliberati.</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Gli dite che deve trovare un altro credito da conferire.</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16</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Qual è il numero minimo di soci per la costituzione di una cooperativa?</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Per la costituzione di una società cooperativa non è necessario un numero minimo soci.</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Per la costituzione di una società cooperativa è necessario il numero minimo di tre soci.</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Per la costituzione di una società cooperativa è necessario il numero minimo di nove soci. E' possibile costituire una società cooperativa con tre soci, quando questi sono persone fisiche e la società adotta le norme della società a responsabilità limitata: nel caso di attività agricola possono essere soci anche le società semplici.</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17</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In una società a responsabilità limitata quando s'intende comunque approvato il bilan</w:t>
            </w:r>
            <w:r>
              <w:rPr>
                <w:rFonts w:ascii="Arial" w:hAnsi="Arial" w:cs="Arial"/>
                <w:b/>
                <w:bCs/>
              </w:rPr>
              <w:t>c</w:t>
            </w:r>
            <w:r w:rsidRPr="00A7283E">
              <w:rPr>
                <w:rFonts w:ascii="Arial" w:hAnsi="Arial" w:cs="Arial"/>
                <w:b/>
                <w:bCs/>
              </w:rPr>
              <w:t>io finale di liquidazione ed i liquidatori liberi verso i soci?</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Deco</w:t>
            </w:r>
            <w:r>
              <w:rPr>
                <w:rFonts w:ascii="Arial" w:hAnsi="Arial" w:cs="Arial"/>
              </w:rPr>
              <w:t>r</w:t>
            </w:r>
            <w:r w:rsidRPr="00A7283E">
              <w:rPr>
                <w:rFonts w:ascii="Arial" w:hAnsi="Arial" w:cs="Arial"/>
              </w:rPr>
              <w:t>so il termine di novanta giorni senza che siano stati proposti reclami, il bilancio finale di liquidazione s'intende approvato e i liquidatori, salvi i loro obblighi relativi alla distribuzione dell'attivo risultante dal bilancio, sono liberi difronte ai soci</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Deco</w:t>
            </w:r>
            <w:r>
              <w:rPr>
                <w:rFonts w:ascii="Arial" w:hAnsi="Arial" w:cs="Arial"/>
              </w:rPr>
              <w:t>r</w:t>
            </w:r>
            <w:r w:rsidRPr="00A7283E">
              <w:rPr>
                <w:rFonts w:ascii="Arial" w:hAnsi="Arial" w:cs="Arial"/>
              </w:rPr>
              <w:t>so il termine di trenta giorni senza che siano stati proposti reclami, il bilancio finale di liquidazione s'intende approvato e i liquidatori sono liberi difronte ai soci</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Deco</w:t>
            </w:r>
            <w:r>
              <w:rPr>
                <w:rFonts w:ascii="Arial" w:hAnsi="Arial" w:cs="Arial"/>
              </w:rPr>
              <w:t>r</w:t>
            </w:r>
            <w:r w:rsidRPr="00A7283E">
              <w:rPr>
                <w:rFonts w:ascii="Arial" w:hAnsi="Arial" w:cs="Arial"/>
              </w:rPr>
              <w:t>so il termine di trenta giorni senza che siano stati proposti reclami, il bilancio finale di liquidazione s'intende approvato e dopo l'avvenuto deposito presso la Camera di Commercio i liquidatori sono liberi difronte ai soci</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18</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Quali documenti contabili devono produrre i liquidatori nella fase di liquidazione societaria?</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I documenti da produrre sono: l'inventario di liquidazione ed il bilancio finale di liquidazione</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I documenti da produrre sono: il bilancio iniziale di liquidazione, il primo bilancio annuale post-liquidazione, i bilanci intermedi ed il bilancio finale di liquidazione.</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Il documento che i liquidatori devono produrre è il bilancio finale di liquidazione.</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19</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 xml:space="preserve">Come viene determinato </w:t>
            </w:r>
            <w:proofErr w:type="spellStart"/>
            <w:r w:rsidRPr="00A7283E">
              <w:rPr>
                <w:rFonts w:ascii="Arial" w:hAnsi="Arial" w:cs="Arial"/>
                <w:b/>
                <w:bCs/>
              </w:rPr>
              <w:t>civilisticamente</w:t>
            </w:r>
            <w:proofErr w:type="spellEnd"/>
            <w:r w:rsidRPr="00A7283E">
              <w:rPr>
                <w:rFonts w:ascii="Arial" w:hAnsi="Arial" w:cs="Arial"/>
                <w:b/>
                <w:bCs/>
              </w:rPr>
              <w:t xml:space="preserve"> l</w:t>
            </w:r>
            <w:r>
              <w:rPr>
                <w:rFonts w:ascii="Arial" w:hAnsi="Arial" w:cs="Arial"/>
                <w:b/>
                <w:bCs/>
              </w:rPr>
              <w:t>'ammortamento di un cespite disp</w:t>
            </w:r>
            <w:r w:rsidRPr="00A7283E">
              <w:rPr>
                <w:rFonts w:ascii="Arial" w:hAnsi="Arial" w:cs="Arial"/>
                <w:b/>
                <w:bCs/>
              </w:rPr>
              <w:t>onibile e pronto per l'uso sistematico?</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Il piano d'ammortamento deve essere funzionale alla residua possibilità di utilizzazione dell'immobilizzazione, ossia alla sua durata economica, cioè al periodo in cui si prevede che il cespite sarà di utilità per l'impresa.</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Il piano d'ammortamento è il risultato dell'applicazione, al costo dell'immobilizzazione, del coefficiente percentuale indicato da apposita tabella dell'Agenzia delle Entrate.</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Il piano d'ammortamento è redatto dall'imprenditore, considerando la tipologia del bene e la sua durata media in natura.</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lastRenderedPageBreak/>
              <w:t>20</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 xml:space="preserve">La Rublo </w:t>
            </w:r>
            <w:proofErr w:type="spellStart"/>
            <w:r w:rsidRPr="00A7283E">
              <w:rPr>
                <w:rFonts w:ascii="Arial" w:hAnsi="Arial" w:cs="Arial"/>
                <w:b/>
                <w:bCs/>
              </w:rPr>
              <w:t>SpA</w:t>
            </w:r>
            <w:proofErr w:type="spellEnd"/>
            <w:r w:rsidRPr="00A7283E">
              <w:rPr>
                <w:rFonts w:ascii="Arial" w:hAnsi="Arial" w:cs="Arial"/>
                <w:b/>
                <w:bCs/>
              </w:rPr>
              <w:t xml:space="preserve"> vi presenta i seguenti dati: Contributi associativi di categoria € 10.000,00; al 31/12/N1 non sono ancora stati pagati; il contributo è obbligatorio: che rilevazioni eseguite al 31/12/N1?</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 xml:space="preserve">Contributi associativi </w:t>
            </w:r>
            <w:r w:rsidRPr="00A7283E">
              <w:rPr>
                <w:rFonts w:ascii="Arial" w:hAnsi="Arial" w:cs="Arial"/>
                <w:b/>
                <w:bCs/>
              </w:rPr>
              <w:t>a</w:t>
            </w:r>
            <w:r w:rsidRPr="00A7283E">
              <w:rPr>
                <w:rFonts w:ascii="Arial" w:hAnsi="Arial" w:cs="Arial"/>
              </w:rPr>
              <w:t xml:space="preserve"> Debiti Diversi per 10.000,00</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 xml:space="preserve">Contributi associativi </w:t>
            </w:r>
            <w:r w:rsidRPr="00A7283E">
              <w:rPr>
                <w:rFonts w:ascii="Arial" w:hAnsi="Arial" w:cs="Arial"/>
                <w:b/>
                <w:bCs/>
              </w:rPr>
              <w:t>a</w:t>
            </w:r>
            <w:r w:rsidRPr="00A7283E">
              <w:rPr>
                <w:rFonts w:ascii="Arial" w:hAnsi="Arial" w:cs="Arial"/>
              </w:rPr>
              <w:t xml:space="preserve"> Risconti Passivi per 10.000,00</w:t>
            </w:r>
          </w:p>
        </w:tc>
        <w:tc>
          <w:tcPr>
            <w:tcW w:w="1261" w:type="pct"/>
            <w:tcBorders>
              <w:top w:val="nil"/>
              <w:left w:val="nil"/>
              <w:bottom w:val="single" w:sz="4" w:space="0" w:color="auto"/>
              <w:right w:val="single" w:sz="4" w:space="0" w:color="auto"/>
            </w:tcBorders>
            <w:shd w:val="clear" w:color="auto" w:fill="auto"/>
            <w:vAlign w:val="center"/>
          </w:tcPr>
          <w:p w:rsidR="002053CE" w:rsidRDefault="002053CE" w:rsidP="002623BA">
            <w:pPr>
              <w:rPr>
                <w:rFonts w:ascii="Arial" w:hAnsi="Arial" w:cs="Arial"/>
              </w:rPr>
            </w:pPr>
            <w:r w:rsidRPr="00A7283E">
              <w:rPr>
                <w:rFonts w:ascii="Arial" w:hAnsi="Arial" w:cs="Arial"/>
              </w:rPr>
              <w:t xml:space="preserve">1) Contributi associativi </w:t>
            </w:r>
            <w:r w:rsidRPr="00A7283E">
              <w:rPr>
                <w:rFonts w:ascii="Arial" w:hAnsi="Arial" w:cs="Arial"/>
                <w:b/>
                <w:bCs/>
              </w:rPr>
              <w:t xml:space="preserve">a </w:t>
            </w:r>
            <w:r w:rsidRPr="00A7283E">
              <w:rPr>
                <w:rFonts w:ascii="Arial" w:hAnsi="Arial" w:cs="Arial"/>
              </w:rPr>
              <w:t xml:space="preserve">Debiti Diversi per 10.000,00                </w:t>
            </w:r>
          </w:p>
          <w:p w:rsidR="002053CE" w:rsidRPr="00A7283E" w:rsidRDefault="002053CE" w:rsidP="002623BA">
            <w:pPr>
              <w:rPr>
                <w:rFonts w:ascii="Arial" w:hAnsi="Arial" w:cs="Arial"/>
              </w:rPr>
            </w:pPr>
            <w:r w:rsidRPr="00A7283E">
              <w:rPr>
                <w:rFonts w:ascii="Arial" w:hAnsi="Arial" w:cs="Arial"/>
              </w:rPr>
              <w:t xml:space="preserve"> 2) IRES Anticipate (SP) </w:t>
            </w:r>
            <w:r w:rsidRPr="00A7283E">
              <w:rPr>
                <w:rFonts w:ascii="Arial" w:hAnsi="Arial" w:cs="Arial"/>
                <w:b/>
                <w:bCs/>
              </w:rPr>
              <w:t xml:space="preserve">a </w:t>
            </w:r>
            <w:r w:rsidRPr="00A7283E">
              <w:rPr>
                <w:rFonts w:ascii="Arial" w:hAnsi="Arial" w:cs="Arial"/>
              </w:rPr>
              <w:t>IRES Anticipate (CE)</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21</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 xml:space="preserve">Nella Dopo </w:t>
            </w:r>
            <w:proofErr w:type="spellStart"/>
            <w:r w:rsidRPr="00A7283E">
              <w:rPr>
                <w:rFonts w:ascii="Arial" w:hAnsi="Arial" w:cs="Arial"/>
                <w:b/>
                <w:bCs/>
              </w:rPr>
              <w:t>Srl</w:t>
            </w:r>
            <w:proofErr w:type="spellEnd"/>
            <w:r w:rsidRPr="00A7283E">
              <w:rPr>
                <w:rFonts w:ascii="Arial" w:hAnsi="Arial" w:cs="Arial"/>
                <w:b/>
                <w:bCs/>
              </w:rPr>
              <w:t xml:space="preserve"> viene deciso di aumentare il capitale sociale ma non è ancora attuata la delibera. I versamenti dei soci li contabilizzate:</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 xml:space="preserve">Banca c/c </w:t>
            </w:r>
            <w:r w:rsidRPr="00A7283E">
              <w:rPr>
                <w:rFonts w:ascii="Arial" w:hAnsi="Arial" w:cs="Arial"/>
                <w:b/>
                <w:bCs/>
              </w:rPr>
              <w:t xml:space="preserve">a </w:t>
            </w:r>
            <w:r w:rsidRPr="00A7283E">
              <w:rPr>
                <w:rFonts w:ascii="Arial" w:hAnsi="Arial" w:cs="Arial"/>
              </w:rPr>
              <w:t>Finanziamenti soci</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 xml:space="preserve">Banca c/c </w:t>
            </w:r>
            <w:r w:rsidRPr="00A7283E">
              <w:rPr>
                <w:rFonts w:ascii="Arial" w:hAnsi="Arial" w:cs="Arial"/>
                <w:b/>
                <w:bCs/>
              </w:rPr>
              <w:t xml:space="preserve">a </w:t>
            </w:r>
            <w:r w:rsidRPr="00A7283E">
              <w:rPr>
                <w:rFonts w:ascii="Arial" w:hAnsi="Arial" w:cs="Arial"/>
              </w:rPr>
              <w:t>Versamenti soci in c/ futuro aumento di capitale</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 xml:space="preserve">Banca c/c </w:t>
            </w:r>
            <w:r w:rsidRPr="00A7283E">
              <w:rPr>
                <w:rFonts w:ascii="Arial" w:hAnsi="Arial" w:cs="Arial"/>
                <w:b/>
                <w:bCs/>
              </w:rPr>
              <w:t xml:space="preserve">a </w:t>
            </w:r>
            <w:r w:rsidRPr="00A7283E">
              <w:rPr>
                <w:rFonts w:ascii="Arial" w:hAnsi="Arial" w:cs="Arial"/>
              </w:rPr>
              <w:t>Capitale sociale da sottoscrivere</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22</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In che modo il comune può partecipare all'accertamento dei redditi delle persone fisiche?</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Il comune di domicilio fiscale del contribuente, o il consorzio al quale lo stesso partecipa, può partecipare all'accertamento dei redditi delle persone fisiche, solo se lo prevede il proprio statuto.</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Il comune di domicilio fiscale del contribuente, o il consorzio al quale lo stesso partecipa, non può partecipare all'accertamento dei redditi delle persone f</w:t>
            </w:r>
            <w:r>
              <w:rPr>
                <w:rFonts w:ascii="Arial" w:hAnsi="Arial" w:cs="Arial"/>
              </w:rPr>
              <w:t>isi</w:t>
            </w:r>
            <w:r w:rsidRPr="00A7283E">
              <w:rPr>
                <w:rFonts w:ascii="Arial" w:hAnsi="Arial" w:cs="Arial"/>
              </w:rPr>
              <w:t>che.</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 xml:space="preserve">Il comune di domicilio fiscale del contribuente, o il consorzio al quale lo stesso partecipa, può segnalare qualsiasi integrazione degli elementi contenuti </w:t>
            </w:r>
            <w:r>
              <w:rPr>
                <w:rFonts w:ascii="Arial" w:hAnsi="Arial" w:cs="Arial"/>
              </w:rPr>
              <w:t>nelle dichiarazioni presentate</w:t>
            </w:r>
            <w:r w:rsidRPr="00A7283E">
              <w:rPr>
                <w:rFonts w:ascii="Arial" w:hAnsi="Arial" w:cs="Arial"/>
              </w:rPr>
              <w:t xml:space="preserve"> dalle persone fisiche, indicando dati, fatti ed elementi rilevanti e fornendo ogni idonea documentazione atta a comprovarla</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23</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Gli accessi, ispezioni e verifiche ai fini dell'imposta sul valore aggiunto possono essere effettuate anche al di fuori dei locali destinati all'esercizio dell'attività?</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L'accesso in locali diversi da quelli destinati all'esercizio dell'attività può essere eseguito previa autorizzazione del Procuratore della Repubblica,</w:t>
            </w:r>
            <w:r>
              <w:rPr>
                <w:rFonts w:ascii="Arial" w:hAnsi="Arial" w:cs="Arial"/>
              </w:rPr>
              <w:t xml:space="preserve"> soltanto in casi di gravi indi</w:t>
            </w:r>
            <w:r w:rsidRPr="00A7283E">
              <w:rPr>
                <w:rFonts w:ascii="Arial" w:hAnsi="Arial" w:cs="Arial"/>
              </w:rPr>
              <w:t>zi di violazione delle norme, allo scopo di reperire libri, registri, documenti, scritture ed altre prove delle violazioni.</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L'accesso in locali diversi da quelli destinati all'esercizio dell'attività può essere eseguito previa autorizzazione del responsabile dell'ufficio verificatore allo scopo di reperire libri, registri, documenti, scritture ed altre prove delle violazioni.</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L'accesso in locali diversi da quelli destinati all'esercizio dell'attività non può mai essere eseguito.</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24</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Chi è il Garante del contribuente?</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Il Garante del</w:t>
            </w:r>
            <w:r>
              <w:rPr>
                <w:rFonts w:ascii="Arial" w:hAnsi="Arial" w:cs="Arial"/>
              </w:rPr>
              <w:t xml:space="preserve"> contribuente è un organo colle</w:t>
            </w:r>
            <w:r w:rsidRPr="00A7283E">
              <w:rPr>
                <w:rFonts w:ascii="Arial" w:hAnsi="Arial" w:cs="Arial"/>
              </w:rPr>
              <w:t>giale liberamente nominato dal Presidente della Repubblica e composto da persone che assicurano indipendenza e competenza in materia fiscale e tributaria.</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Il garante del contribuente è un organo collegiale, operante in piena autonomia, costituito da tre componenti scelti e nominati dal Presidente della commissione tributaria regionale, nella cui circoscrizione è compresa la direzione regionale delle entrate.</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 xml:space="preserve">Il garante del contribuente è un dirigente, operante in piena autonomia e nominato dal Presidente del Consiglio dei Ministri. </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lastRenderedPageBreak/>
              <w:t>25</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Pr>
                <w:rFonts w:ascii="Arial" w:hAnsi="Arial" w:cs="Arial"/>
                <w:b/>
                <w:bCs/>
              </w:rPr>
              <w:t xml:space="preserve">Quali sono gli elementi </w:t>
            </w:r>
            <w:r w:rsidRPr="00A7283E">
              <w:rPr>
                <w:rFonts w:ascii="Arial" w:hAnsi="Arial" w:cs="Arial"/>
                <w:b/>
                <w:bCs/>
              </w:rPr>
              <w:t>che tassativamente devono indicare gli atti dell'Amm</w:t>
            </w:r>
            <w:r>
              <w:rPr>
                <w:rFonts w:ascii="Arial" w:hAnsi="Arial" w:cs="Arial"/>
                <w:b/>
                <w:bCs/>
              </w:rPr>
              <w:t>i</w:t>
            </w:r>
            <w:r w:rsidRPr="00A7283E">
              <w:rPr>
                <w:rFonts w:ascii="Arial" w:hAnsi="Arial" w:cs="Arial"/>
                <w:b/>
                <w:bCs/>
              </w:rPr>
              <w:t>nistrazione finanziaria e dei concessionari della riscossione?</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Gli atti dell'Amm</w:t>
            </w:r>
            <w:r>
              <w:rPr>
                <w:rFonts w:ascii="Arial" w:hAnsi="Arial" w:cs="Arial"/>
              </w:rPr>
              <w:t>i</w:t>
            </w:r>
            <w:r w:rsidRPr="00A7283E">
              <w:rPr>
                <w:rFonts w:ascii="Arial" w:hAnsi="Arial" w:cs="Arial"/>
              </w:rPr>
              <w:t>nistrazione finanziaria e dei concessionari della riscossione devono tassativamente indicare: l'ufficio presso il quale è possibile ottenere informazioni in merito all'atto; l'organo o l'autorità amministrativa presso i quali è possibile promuovere il riesame in autotutela; le modalità, il termine e l'organo giurisdizionale a cui è possibile ricorrere.</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Gli atti dell'Amm</w:t>
            </w:r>
            <w:r>
              <w:rPr>
                <w:rFonts w:ascii="Arial" w:hAnsi="Arial" w:cs="Arial"/>
              </w:rPr>
              <w:t>i</w:t>
            </w:r>
            <w:r w:rsidRPr="00A7283E">
              <w:rPr>
                <w:rFonts w:ascii="Arial" w:hAnsi="Arial" w:cs="Arial"/>
              </w:rPr>
              <w:t>nistrazione finanziaria e dei concessionari della riscossione devono tassativamente indicare:</w:t>
            </w:r>
            <w:r>
              <w:rPr>
                <w:rFonts w:ascii="Arial" w:hAnsi="Arial" w:cs="Arial"/>
              </w:rPr>
              <w:t xml:space="preserve"> </w:t>
            </w:r>
            <w:r w:rsidRPr="00A7283E">
              <w:rPr>
                <w:rFonts w:ascii="Arial" w:hAnsi="Arial" w:cs="Arial"/>
              </w:rPr>
              <w:t>i dati identificativi del contribuente; le modalità, il termine e l'organo giurisdizionale a cui è possibile ricorrere.</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Gli atti dell'Amm</w:t>
            </w:r>
            <w:r>
              <w:rPr>
                <w:rFonts w:ascii="Arial" w:hAnsi="Arial" w:cs="Arial"/>
              </w:rPr>
              <w:t>i</w:t>
            </w:r>
            <w:r w:rsidRPr="00A7283E">
              <w:rPr>
                <w:rFonts w:ascii="Arial" w:hAnsi="Arial" w:cs="Arial"/>
              </w:rPr>
              <w:t>nistrazione finanziaria e dei concessionari della riscossione devono tassativamente indicare:</w:t>
            </w:r>
            <w:r>
              <w:rPr>
                <w:rFonts w:ascii="Arial" w:hAnsi="Arial" w:cs="Arial"/>
              </w:rPr>
              <w:t xml:space="preserve"> </w:t>
            </w:r>
            <w:r w:rsidRPr="00A7283E">
              <w:rPr>
                <w:rFonts w:ascii="Arial" w:hAnsi="Arial" w:cs="Arial"/>
              </w:rPr>
              <w:t>i dati identificativi del contribuente; l'oggetto ed il contenuto dell'accertamento; le modalità, il termine e l'organo giurisdizionale a cui è possibile ricorrere.</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26</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Per quali controversie è obbligatorio presentare istanza di reclamo-mediazione, preliminarmente al ricorso?</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Per le controversie di valore  non superiore a Euro 20.000 relativi ad atti emessi dall'Agenzia delle Entrate  notificati a partire dal 1 aprile 2012</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 xml:space="preserve">Per le controversie di valore non  superiore ad Euro 20.000 relative ad atti emessi dall'Agenzia delle Entrate </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Per le controversie di valore non superiore ad Euro 20,000 relative ad atti emessi dall'Agenzia delle Entrate e dall'Agente della Riscossione notificati a partire dal 1 aprile 2012</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27</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Qual è la conseguenza della mancata presentazione dell'istanza di mediazione tributaria?</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Pr>
                <w:rFonts w:ascii="Arial" w:hAnsi="Arial" w:cs="Arial"/>
              </w:rPr>
              <w:t>L'in</w:t>
            </w:r>
            <w:r w:rsidRPr="00A7283E">
              <w:rPr>
                <w:rFonts w:ascii="Arial" w:hAnsi="Arial" w:cs="Arial"/>
              </w:rPr>
              <w:t>am</w:t>
            </w:r>
            <w:r>
              <w:rPr>
                <w:rFonts w:ascii="Arial" w:hAnsi="Arial" w:cs="Arial"/>
              </w:rPr>
              <w:t>m</w:t>
            </w:r>
            <w:r w:rsidRPr="00A7283E">
              <w:rPr>
                <w:rFonts w:ascii="Arial" w:hAnsi="Arial" w:cs="Arial"/>
              </w:rPr>
              <w:t>issibilità del ricorso</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L'improcedibilità del ricorso</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Nessuna</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28</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 xml:space="preserve">In base alle modifiche introdotte dal Dl 3/10/2006 n.262, </w:t>
            </w:r>
            <w:proofErr w:type="spellStart"/>
            <w:r w:rsidRPr="00A7283E">
              <w:rPr>
                <w:rFonts w:ascii="Arial" w:hAnsi="Arial" w:cs="Arial"/>
                <w:b/>
                <w:bCs/>
              </w:rPr>
              <w:t>conv</w:t>
            </w:r>
            <w:proofErr w:type="spellEnd"/>
            <w:r w:rsidRPr="00A7283E">
              <w:rPr>
                <w:rFonts w:ascii="Arial" w:hAnsi="Arial" w:cs="Arial"/>
                <w:b/>
                <w:bCs/>
              </w:rPr>
              <w:t xml:space="preserve"> dalla L.24/11/2006 n. 286, in quale misura si applica l'imposta di successione sui trasferimenti devoluti a favore del coniuge e dei parenti in linea retta?</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Nella misura del 4% sul valore complessivo netto dei beni eccedente, per ciascun beneficiario, 1.000.000 di euro.</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Nella misura del 6% sul valore complessivo netto dei beni eccedente, per ciascun beneficiario, 1.000.000 di euro.</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Nella misura del 4% sul valore complessivo netto dei beni eccedente 1.000.000 di euro</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29</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A quali condizioni non sono soggetti all'imposta di successione i tra</w:t>
            </w:r>
            <w:r>
              <w:rPr>
                <w:rFonts w:ascii="Arial" w:hAnsi="Arial" w:cs="Arial"/>
                <w:b/>
                <w:bCs/>
              </w:rPr>
              <w:t>s</w:t>
            </w:r>
            <w:r w:rsidRPr="00A7283E">
              <w:rPr>
                <w:rFonts w:ascii="Arial" w:hAnsi="Arial" w:cs="Arial"/>
                <w:b/>
                <w:bCs/>
              </w:rPr>
              <w:t>ferimenti, effettuati anche tramite i patti di famiglia, di aziende, rami di aziende, quote sociali, azioni  a favore dei discendenti e del coniuge?</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A condizione che gli aventi causa proseguano l'esercizio dell'attività, o detengano il controllo della società, per un periodo non inferiore a dieci anni.</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A condizione che gli aventi causa rendano contestualmente alla presentazione della dichiarazione di successione una dichiarazione di accettazione del trasferimento.</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A condizione che gli aventi causa proseguano l'esercizio dell'attività, o detengano il controllo della società, per un periodo non inferiore a cinque anni dalla data del trasferimento, rendendo contestualmente alla presentazione della dichiarazione di successione apposita dichiarazione in tal senso.</w:t>
            </w:r>
          </w:p>
        </w:tc>
      </w:tr>
      <w:tr w:rsidR="002053CE" w:rsidRPr="00ED3DB1" w:rsidTr="002623BA">
        <w:trPr>
          <w:cantSplit/>
          <w:trHeight w:val="227"/>
          <w:jc w:val="center"/>
        </w:trPr>
        <w:tc>
          <w:tcPr>
            <w:tcW w:w="172" w:type="pct"/>
            <w:tcBorders>
              <w:top w:val="nil"/>
              <w:left w:val="nil"/>
              <w:bottom w:val="single" w:sz="4" w:space="0" w:color="auto"/>
              <w:right w:val="single" w:sz="4" w:space="0" w:color="auto"/>
            </w:tcBorders>
            <w:shd w:val="clear" w:color="000000" w:fill="D9D9D9"/>
            <w:vAlign w:val="center"/>
          </w:tcPr>
          <w:p w:rsidR="002053CE" w:rsidRPr="00ED3DB1" w:rsidRDefault="002053CE" w:rsidP="002623BA">
            <w:pPr>
              <w:jc w:val="center"/>
              <w:rPr>
                <w:rFonts w:ascii="Arial" w:hAnsi="Arial" w:cs="Arial"/>
                <w:b/>
                <w:color w:val="9C0006"/>
              </w:rPr>
            </w:pPr>
            <w:r w:rsidRPr="00ED3DB1">
              <w:rPr>
                <w:rFonts w:ascii="Arial" w:hAnsi="Arial" w:cs="Arial"/>
                <w:b/>
                <w:color w:val="9C0006"/>
              </w:rPr>
              <w:t>30</w:t>
            </w:r>
          </w:p>
        </w:tc>
        <w:tc>
          <w:tcPr>
            <w:tcW w:w="1206" w:type="pct"/>
            <w:tcBorders>
              <w:top w:val="nil"/>
              <w:left w:val="single" w:sz="4" w:space="0" w:color="auto"/>
              <w:bottom w:val="single" w:sz="4" w:space="0" w:color="auto"/>
              <w:right w:val="single" w:sz="4" w:space="0" w:color="auto"/>
            </w:tcBorders>
            <w:shd w:val="clear" w:color="000000" w:fill="D9D9D9"/>
            <w:vAlign w:val="center"/>
          </w:tcPr>
          <w:p w:rsidR="002053CE" w:rsidRPr="00A7283E" w:rsidRDefault="002053CE" w:rsidP="002623BA">
            <w:pPr>
              <w:rPr>
                <w:rFonts w:ascii="Arial" w:hAnsi="Arial" w:cs="Arial"/>
                <w:b/>
                <w:bCs/>
              </w:rPr>
            </w:pPr>
            <w:r w:rsidRPr="00A7283E">
              <w:rPr>
                <w:rFonts w:ascii="Arial" w:hAnsi="Arial" w:cs="Arial"/>
                <w:b/>
                <w:bCs/>
              </w:rPr>
              <w:t>Le spese funerarie si possono ricomprendere tra le passività deducibili?</w:t>
            </w:r>
          </w:p>
        </w:tc>
        <w:tc>
          <w:tcPr>
            <w:tcW w:w="1206"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No, perché sono sostenute dagli eredi</w:t>
            </w:r>
          </w:p>
        </w:tc>
        <w:tc>
          <w:tcPr>
            <w:tcW w:w="1155"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Si, in misura non superiore ad Euro 1032,91 e sono documentate da regolari quietanze.</w:t>
            </w:r>
          </w:p>
        </w:tc>
        <w:tc>
          <w:tcPr>
            <w:tcW w:w="1261" w:type="pct"/>
            <w:tcBorders>
              <w:top w:val="nil"/>
              <w:left w:val="nil"/>
              <w:bottom w:val="single" w:sz="4" w:space="0" w:color="auto"/>
              <w:right w:val="single" w:sz="4" w:space="0" w:color="auto"/>
            </w:tcBorders>
            <w:shd w:val="clear" w:color="auto" w:fill="auto"/>
            <w:vAlign w:val="center"/>
          </w:tcPr>
          <w:p w:rsidR="002053CE" w:rsidRPr="00A7283E" w:rsidRDefault="002053CE" w:rsidP="002623BA">
            <w:pPr>
              <w:rPr>
                <w:rFonts w:ascii="Arial" w:hAnsi="Arial" w:cs="Arial"/>
              </w:rPr>
            </w:pPr>
            <w:r w:rsidRPr="00A7283E">
              <w:rPr>
                <w:rFonts w:ascii="Arial" w:hAnsi="Arial" w:cs="Arial"/>
              </w:rPr>
              <w:t>Si, in misura non superiore ad Euro 1.549,37 e sono documentate da regolari quietanze</w:t>
            </w:r>
          </w:p>
        </w:tc>
      </w:tr>
    </w:tbl>
    <w:p w:rsidR="002053CE" w:rsidRPr="00ED3DB1" w:rsidRDefault="002053CE" w:rsidP="002053CE">
      <w:pPr>
        <w:jc w:val="center"/>
        <w:rPr>
          <w:rFonts w:ascii="Arial" w:hAnsi="Arial" w:cs="Arial"/>
        </w:rPr>
      </w:pPr>
    </w:p>
    <w:p w:rsidR="002053CE" w:rsidRPr="00ED3DB1" w:rsidRDefault="002053CE" w:rsidP="002053CE">
      <w:pPr>
        <w:rPr>
          <w:rFonts w:ascii="Arial" w:hAnsi="Arial" w:cs="Arial"/>
        </w:rPr>
      </w:pPr>
    </w:p>
    <w:p w:rsidR="002053CE" w:rsidRPr="002322B4" w:rsidRDefault="002053CE" w:rsidP="002053CE">
      <w:pPr>
        <w:tabs>
          <w:tab w:val="left" w:pos="15309"/>
        </w:tabs>
        <w:ind w:left="113" w:right="-418"/>
      </w:pPr>
    </w:p>
    <w:p w:rsidR="00F271B0" w:rsidRDefault="00F271B0"/>
    <w:sectPr w:rsidR="00F271B0" w:rsidSect="00E93ECC">
      <w:headerReference w:type="even" r:id="rId7"/>
      <w:headerReference w:type="default" r:id="rId8"/>
      <w:footerReference w:type="even" r:id="rId9"/>
      <w:footerReference w:type="default" r:id="rId10"/>
      <w:headerReference w:type="first" r:id="rId11"/>
      <w:footerReference w:type="first" r:id="rId12"/>
      <w:pgSz w:w="16838" w:h="11906" w:orient="landscape" w:code="9"/>
      <w:pgMar w:top="567" w:right="567" w:bottom="567" w:left="567" w:header="142" w:footer="3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CE" w:rsidRDefault="002053CE" w:rsidP="002053CE">
      <w:r>
        <w:separator/>
      </w:r>
    </w:p>
  </w:endnote>
  <w:endnote w:type="continuationSeparator" w:id="0">
    <w:p w:rsidR="002053CE" w:rsidRDefault="002053CE" w:rsidP="0020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CE" w:rsidRDefault="002053C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877" w:rsidRPr="007C2E3D" w:rsidRDefault="002053CE" w:rsidP="00DD4A31">
    <w:pPr>
      <w:pStyle w:val="Pidipagina"/>
      <w:pBdr>
        <w:top w:val="single" w:sz="4" w:space="1" w:color="auto"/>
      </w:pBdr>
      <w:tabs>
        <w:tab w:val="clear" w:pos="4819"/>
        <w:tab w:val="left" w:pos="4253"/>
        <w:tab w:val="left" w:pos="6804"/>
        <w:tab w:val="right" w:pos="10632"/>
      </w:tabs>
      <w:ind w:left="142" w:right="141"/>
      <w:rPr>
        <w:rFonts w:ascii="Arial" w:hAnsi="Arial" w:cs="Arial"/>
        <w:sz w:val="16"/>
        <w:szCs w:val="16"/>
      </w:rPr>
    </w:pP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CE" w:rsidRDefault="002053C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CE" w:rsidRDefault="002053CE" w:rsidP="002053CE">
      <w:r>
        <w:separator/>
      </w:r>
    </w:p>
  </w:footnote>
  <w:footnote w:type="continuationSeparator" w:id="0">
    <w:p w:rsidR="002053CE" w:rsidRDefault="002053CE" w:rsidP="00205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CE" w:rsidRDefault="002053C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A3" w:rsidRDefault="002053CE" w:rsidP="002124A3">
    <w:pPr>
      <w:pStyle w:val="Intestazione"/>
      <w:jc w:val="center"/>
      <w:rPr>
        <w:rFonts w:cs="Arial"/>
        <w:b/>
        <w:spacing w:val="4"/>
      </w:rPr>
    </w:pPr>
  </w:p>
  <w:tbl>
    <w:tblPr>
      <w:tblW w:w="15167" w:type="dxa"/>
      <w:tblInd w:w="250" w:type="dxa"/>
      <w:tblBorders>
        <w:bottom w:val="single" w:sz="4" w:space="0" w:color="auto"/>
      </w:tblBorders>
      <w:tblLook w:val="04A0" w:firstRow="1" w:lastRow="0" w:firstColumn="1" w:lastColumn="0" w:noHBand="0" w:noVBand="1"/>
    </w:tblPr>
    <w:tblGrid>
      <w:gridCol w:w="3544"/>
      <w:gridCol w:w="8080"/>
      <w:gridCol w:w="3543"/>
    </w:tblGrid>
    <w:tr w:rsidR="00691AD7" w:rsidRPr="009A2690" w:rsidTr="00DD4A31">
      <w:trPr>
        <w:trHeight w:val="885"/>
      </w:trPr>
      <w:tc>
        <w:tcPr>
          <w:tcW w:w="3544" w:type="dxa"/>
          <w:shd w:val="clear" w:color="auto" w:fill="auto"/>
          <w:vAlign w:val="center"/>
        </w:tcPr>
        <w:p w:rsidR="00691AD7" w:rsidRPr="009A2690" w:rsidRDefault="002053CE" w:rsidP="009A2690">
          <w:pPr>
            <w:pStyle w:val="Intestazione"/>
            <w:ind w:right="282"/>
            <w:jc w:val="center"/>
            <w:rPr>
              <w:rFonts w:cs="Arial"/>
              <w:b/>
            </w:rPr>
          </w:pPr>
          <w:bookmarkStart w:id="0" w:name="_GoBack" w:colFirst="1" w:colLast="1"/>
        </w:p>
      </w:tc>
      <w:tc>
        <w:tcPr>
          <w:tcW w:w="8080" w:type="dxa"/>
          <w:shd w:val="clear" w:color="auto" w:fill="auto"/>
          <w:vAlign w:val="center"/>
        </w:tcPr>
        <w:p w:rsidR="00691AD7" w:rsidRPr="009A2690" w:rsidRDefault="002053CE" w:rsidP="00DA41CD">
          <w:pPr>
            <w:pStyle w:val="Intestazione"/>
            <w:ind w:right="282"/>
            <w:jc w:val="center"/>
            <w:rPr>
              <w:rFonts w:ascii="Book Antiqua" w:hAnsi="Book Antiqua"/>
              <w:sz w:val="16"/>
              <w:szCs w:val="16"/>
            </w:rPr>
          </w:pPr>
        </w:p>
      </w:tc>
      <w:tc>
        <w:tcPr>
          <w:tcW w:w="3543" w:type="dxa"/>
          <w:shd w:val="clear" w:color="auto" w:fill="auto"/>
          <w:vAlign w:val="center"/>
        </w:tcPr>
        <w:p w:rsidR="00691AD7" w:rsidRPr="009A2690" w:rsidRDefault="002053CE" w:rsidP="009A2690">
          <w:pPr>
            <w:pStyle w:val="Intestazione"/>
            <w:jc w:val="center"/>
            <w:rPr>
              <w:rFonts w:cs="Arial"/>
              <w:b/>
              <w:spacing w:val="4"/>
            </w:rPr>
          </w:pPr>
        </w:p>
      </w:tc>
    </w:tr>
    <w:bookmarkEnd w:id="0"/>
  </w:tbl>
  <w:p w:rsidR="00DB133B" w:rsidRPr="00804FDA" w:rsidRDefault="002053CE" w:rsidP="00591B31">
    <w:pPr>
      <w:pStyle w:val="Intestazione"/>
      <w:ind w:left="142" w:right="282"/>
      <w:jc w:val="left"/>
      <w:rPr>
        <w:rFonts w:ascii="Book Antiqua" w:hAnsi="Book Antiqu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CE" w:rsidRDefault="002053C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CE"/>
    <w:rsid w:val="002053CE"/>
    <w:rsid w:val="00B51F6F"/>
    <w:rsid w:val="00CE7032"/>
    <w:rsid w:val="00DC526B"/>
    <w:rsid w:val="00F271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53C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053CE"/>
    <w:pPr>
      <w:tabs>
        <w:tab w:val="center" w:pos="4819"/>
        <w:tab w:val="right" w:pos="9638"/>
      </w:tabs>
    </w:pPr>
  </w:style>
  <w:style w:type="character" w:customStyle="1" w:styleId="PidipaginaCarattere">
    <w:name w:val="Piè di pagina Carattere"/>
    <w:basedOn w:val="Carpredefinitoparagrafo"/>
    <w:link w:val="Pidipagina"/>
    <w:rsid w:val="002053CE"/>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2053CE"/>
    <w:pPr>
      <w:tabs>
        <w:tab w:val="center" w:pos="4819"/>
        <w:tab w:val="right" w:pos="9638"/>
      </w:tabs>
      <w:jc w:val="both"/>
    </w:pPr>
    <w:rPr>
      <w:rFonts w:ascii="Arial" w:hAnsi="Arial"/>
    </w:rPr>
  </w:style>
  <w:style w:type="character" w:customStyle="1" w:styleId="IntestazioneCarattere">
    <w:name w:val="Intestazione Carattere"/>
    <w:basedOn w:val="Carpredefinitoparagrafo"/>
    <w:link w:val="Intestazione"/>
    <w:rsid w:val="002053CE"/>
    <w:rPr>
      <w:rFonts w:ascii="Arial" w:eastAsia="Times New Roman" w:hAnsi="Arial" w:cs="Times New Roman"/>
      <w:sz w:val="20"/>
      <w:szCs w:val="20"/>
      <w:lang w:eastAsia="it-IT"/>
    </w:rPr>
  </w:style>
  <w:style w:type="character" w:styleId="Numeropagina">
    <w:name w:val="page number"/>
    <w:basedOn w:val="Carpredefinitoparagrafo"/>
    <w:rsid w:val="002053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53C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053CE"/>
    <w:pPr>
      <w:tabs>
        <w:tab w:val="center" w:pos="4819"/>
        <w:tab w:val="right" w:pos="9638"/>
      </w:tabs>
    </w:pPr>
  </w:style>
  <w:style w:type="character" w:customStyle="1" w:styleId="PidipaginaCarattere">
    <w:name w:val="Piè di pagina Carattere"/>
    <w:basedOn w:val="Carpredefinitoparagrafo"/>
    <w:link w:val="Pidipagina"/>
    <w:rsid w:val="002053CE"/>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2053CE"/>
    <w:pPr>
      <w:tabs>
        <w:tab w:val="center" w:pos="4819"/>
        <w:tab w:val="right" w:pos="9638"/>
      </w:tabs>
      <w:jc w:val="both"/>
    </w:pPr>
    <w:rPr>
      <w:rFonts w:ascii="Arial" w:hAnsi="Arial"/>
    </w:rPr>
  </w:style>
  <w:style w:type="character" w:customStyle="1" w:styleId="IntestazioneCarattere">
    <w:name w:val="Intestazione Carattere"/>
    <w:basedOn w:val="Carpredefinitoparagrafo"/>
    <w:link w:val="Intestazione"/>
    <w:rsid w:val="002053CE"/>
    <w:rPr>
      <w:rFonts w:ascii="Arial" w:eastAsia="Times New Roman" w:hAnsi="Arial" w:cs="Times New Roman"/>
      <w:sz w:val="20"/>
      <w:szCs w:val="20"/>
      <w:lang w:eastAsia="it-IT"/>
    </w:rPr>
  </w:style>
  <w:style w:type="character" w:styleId="Numeropagina">
    <w:name w:val="page number"/>
    <w:basedOn w:val="Carpredefinitoparagrafo"/>
    <w:rsid w:val="0020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2279</Words>
  <Characters>12992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Nazionale Tributaristi</dc:creator>
  <cp:lastModifiedBy>Istituto Nazionale Tributaristi</cp:lastModifiedBy>
  <cp:revision>1</cp:revision>
  <dcterms:created xsi:type="dcterms:W3CDTF">2021-10-15T13:14:00Z</dcterms:created>
  <dcterms:modified xsi:type="dcterms:W3CDTF">2021-10-15T13:18:00Z</dcterms:modified>
</cp:coreProperties>
</file>